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Document.xml" ContentType="application/vnd.openxmlformats-officedocument.wordprocessingml.comment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ExtendedDocument.xml" ContentType="application/vnd.openxmlformats-officedocument.wordprocessingml.commentsExtended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2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Вносится Губернатором </w:t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882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88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Проект № ______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 w:eastAsia="Times New Roman"/>
          <w:b/>
          <w:sz w:val="40"/>
          <w:szCs w:val="40"/>
        </w:rPr>
        <w:t xml:space="preserve">ЗАКОН</w:t>
      </w:r>
      <w:r>
        <w:rPr>
          <w:rFonts w:ascii="Times New Roman" w:hAnsi="Times New Roman"/>
          <w:b/>
          <w:sz w:val="40"/>
          <w:szCs w:val="40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 w:eastAsia="Times New Roman"/>
          <w:b/>
          <w:sz w:val="40"/>
          <w:szCs w:val="40"/>
        </w:rPr>
        <w:t xml:space="preserve">НОВОСИБИРСКОЙ ОБЛАСТИ</w:t>
      </w:r>
      <w:r>
        <w:rPr>
          <w:rFonts w:ascii="Times New Roman" w:hAnsi="Times New Roman"/>
          <w:b/>
          <w:sz w:val="40"/>
          <w:szCs w:val="40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eastAsia="Times New Roman"/>
          <w:b/>
          <w:bCs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b/>
          <w:bCs/>
          <w:color w:val="000000" w:themeColor="text1"/>
          <w:sz w:val="28"/>
          <w:szCs w:val="28"/>
        </w:rPr>
        <w:t xml:space="preserve">О внесении изменений в отдельные законы Новосибирской области, связанных с реализацией Указа Президента Российской Федерации</w:t>
      </w:r>
      <w:r>
        <w:rPr>
          <w:rFonts w:ascii="Times New Roman" w:hAnsi="Times New Roman" w:eastAsia="Times New Roman"/>
          <w:b/>
          <w:bCs/>
          <w:color w:val="000000" w:themeColor="text1"/>
          <w:sz w:val="28"/>
          <w:szCs w:val="28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eastAsia="Times New Roman"/>
          <w:b/>
          <w:bCs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b/>
          <w:bCs/>
          <w:color w:val="000000" w:themeColor="text1"/>
          <w:sz w:val="28"/>
          <w:szCs w:val="28"/>
        </w:rPr>
        <w:t xml:space="preserve">от 15 мая 2026 года № </w:t>
      </w:r>
      <w:r>
        <w:rPr>
          <w:rFonts w:ascii="Times New Roman" w:hAnsi="Times New Roman" w:eastAsia="Times New Roman"/>
          <w:b/>
          <w:bCs/>
          <w:color w:val="000000" w:themeColor="text1"/>
          <w:sz w:val="28"/>
          <w:szCs w:val="28"/>
        </w:rPr>
        <w:t xml:space="preserve">327 «О единых базовых мерах поддержки лиц, принимающих (принимавших) участие в специальной военной операции,</w:t>
      </w:r>
      <w:r>
        <w:rPr>
          <w:rFonts w:ascii="Times New Roman" w:hAnsi="Times New Roman" w:eastAsia="Times New Roman"/>
          <w:b/>
          <w:bCs/>
          <w:color w:val="000000" w:themeColor="text1"/>
          <w:sz w:val="28"/>
          <w:szCs w:val="28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b/>
          <w:bCs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b/>
          <w:bCs/>
          <w:color w:val="000000" w:themeColor="text1"/>
          <w:sz w:val="28"/>
          <w:szCs w:val="28"/>
        </w:rPr>
        <w:t xml:space="preserve">и других категорий лиц в субъектах Российской Федерации»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Внести в статью 19 Закона Новосибирской области от 12 мая 2003 года № 111-ОЗ «</w:t>
      </w:r>
      <w:r>
        <w:rPr>
          <w:rFonts w:ascii="Times New Roman" w:hAnsi="Times New Roman"/>
          <w:sz w:val="28"/>
          <w:szCs w:val="28"/>
          <w:lang w:eastAsia="ru-RU"/>
        </w:rPr>
        <w:t xml:space="preserve">О защите прав детей в Новосибирской области» (с изменениями, внесенными Законами Новосибирской области от 16 октября 2003 года № 146-ОЗ, от 10 декабря 2004 года № 237-ОЗ, от 14 марта 2005 года № 275-ОЗ, от 17 июля 2006 года № 23-ОЗ, от 7 июня 2007 года № 1</w:t>
      </w:r>
      <w:r>
        <w:rPr>
          <w:rFonts w:ascii="Times New Roman" w:hAnsi="Times New Roman"/>
          <w:sz w:val="28"/>
          <w:szCs w:val="28"/>
          <w:lang w:eastAsia="ru-RU"/>
        </w:rPr>
        <w:t xml:space="preserve">03-ОЗ, от 15 октября 2007 года № 144-ОЗ, от 15 декабря 2007 года № 179-ОЗ, от 28 марта 2008 года № 217-ОЗ, от 13 октября 2008 года № 261-ОЗ, от 2 июля 2009 года № 364-ОЗ, от 2 июля 2009 года № 367-ОЗ, от 1 марта 2010 года № 465-ОЗ, от 27 апреля 2010 года №</w:t>
      </w:r>
      <w:r>
        <w:rPr>
          <w:rFonts w:ascii="Times New Roman" w:hAnsi="Times New Roman"/>
          <w:sz w:val="28"/>
          <w:szCs w:val="28"/>
          <w:lang w:eastAsia="ru-RU"/>
        </w:rPr>
        <w:t xml:space="preserve"> 479-ОЗ, от 2 декабря 2010 года № 19-ОЗ, от 2 июня 2011 года № 78-ОЗ, от 22 февраля 2012 года № 189-ОЗ, от 4 июня 2012 года № 212-ОЗ, от 14 июня 2012 года № 226-ОЗ, от 2 октября 2014 года № 466-ОЗ, от 2 октября 2014 года № 470-ОЗ, от 14 декабря 2015 года №</w:t>
      </w:r>
      <w:r>
        <w:rPr>
          <w:rFonts w:ascii="Times New Roman" w:hAnsi="Times New Roman"/>
          <w:sz w:val="28"/>
          <w:szCs w:val="28"/>
          <w:lang w:eastAsia="ru-RU"/>
        </w:rPr>
        <w:t xml:space="preserve"> 22-ОЗ, от 29 июня 2016 года № 82-ОЗ, от 28 марта 2017 года № 148-ОЗ, от 3 апреля 2018 года № 252-ОЗ, от 24 декабря 2018 года № 325-ОЗ, от 20 декабря 2019 года № 444-ОЗ, от 8 мая 2020 года № 473-ОЗ, от 1 декабря 2020 года № 27-ОЗ, от 1 декабря 2021 года № </w:t>
      </w:r>
      <w:r>
        <w:rPr>
          <w:rFonts w:ascii="Times New Roman" w:hAnsi="Times New Roman"/>
          <w:sz w:val="28"/>
          <w:szCs w:val="28"/>
          <w:lang w:eastAsia="ru-RU"/>
        </w:rPr>
        <w:t xml:space="preserve">146-ОЗ, от 29 ноября 2022 года № 274-ОЗ, от 27 апреля 2023 года № 333-ОЗ, от 14 июня 2023 года № 341-ОЗ, от 5 июня 2024 года № 458-ОЗ, от 18 июля 2024 года № 466-ОЗ,</w:t>
      </w:r>
      <w: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от 5 декабря 2024 года № 525-ОЗ, от 13 мая 2025 года № 588-ОЗ, от 11 июня 2025 года № 608-</w:t>
      </w:r>
      <w:r>
        <w:rPr>
          <w:rFonts w:ascii="Times New Roman" w:hAnsi="Times New Roman"/>
          <w:sz w:val="28"/>
          <w:szCs w:val="28"/>
          <w:lang w:eastAsia="ru-RU"/>
        </w:rPr>
        <w:t xml:space="preserve">ОЗ, от 3 февраля 2026 года № 49-ОЗ, от 1 июня 2026 года № 90-ОЗ, от 2 июля 2026 года № 113-ОЗ)</w:t>
      </w:r>
      <w:r>
        <w:rPr>
          <w:rFonts w:ascii="Times New Roman" w:hAnsi="Times New Roman"/>
          <w:sz w:val="28"/>
          <w:szCs w:val="28"/>
        </w:rPr>
        <w:t xml:space="preserve"> следующие </w:t>
      </w:r>
      <w:r>
        <w:rPr>
          <w:rFonts w:ascii="Times New Roman" w:hAnsi="Times New Roman"/>
          <w:sz w:val="28"/>
          <w:szCs w:val="28"/>
          <w:lang w:eastAsia="ru-RU"/>
        </w:rPr>
        <w:t xml:space="preserve">изменения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 в </w:t>
      </w:r>
      <w:r>
        <w:rPr>
          <w:rFonts w:ascii="Times New Roman" w:hAnsi="Times New Roman" w:eastAsia="Times New Roman"/>
          <w:sz w:val="28"/>
          <w:szCs w:val="28"/>
        </w:rPr>
        <w:t xml:space="preserve">части 2: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а)</w:t>
      </w:r>
      <w:r>
        <w:rPr>
          <w:rFonts w:ascii="Times New Roman" w:hAnsi="Times New Roman" w:eastAsia="Times New Roman"/>
          <w:sz w:val="28"/>
          <w:szCs w:val="28"/>
        </w:rPr>
        <w:t xml:space="preserve"> </w:t>
      </w:r>
      <w:r>
        <w:rPr>
          <w:rFonts w:ascii="Times New Roman" w:hAnsi="Times New Roman" w:eastAsia="Times New Roman"/>
          <w:sz w:val="28"/>
          <w:szCs w:val="28"/>
        </w:rPr>
        <w:t xml:space="preserve">в абзаце первом слова «(далее – путевки)» исключить;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</w:rPr>
        <w:t xml:space="preserve">б) абзацы второй – шестой, восьмой признать утратившими силу;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 </w:t>
      </w:r>
      <w:r>
        <w:rPr>
          <w:rFonts w:ascii="Times New Roman" w:hAnsi="Times New Roman"/>
          <w:sz w:val="28"/>
          <w:szCs w:val="28"/>
        </w:rPr>
        <w:t xml:space="preserve">дополнить частями 2.1</w:t>
      </w:r>
      <w:r>
        <w:rPr>
          <w:rFonts w:ascii="Times New Roman" w:hAnsi="Times New Roman" w:eastAsia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2.4 следующего содержания: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2.1. В первоочередном порядке за счет средств областного бюджета Новосибирской области путевки в организации отдыха детей и их оздоровления, расположенные на территории Новосибирской области, 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однократно в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 течение календарного года 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предоставляются:</w:t>
      </w:r>
      <w:r>
        <w:rPr>
          <w:rFonts w:ascii="Times New Roman" w:hAnsi="Times New Roman" w:eastAsia="Times New Roman"/>
          <w:color w:val="000000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1) детям лиц, из числа названных в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 подпунктах «а» и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white"/>
        </w:rPr>
        <w:t xml:space="preserve">«б» пу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нкта 1 Указа</w:t>
      </w:r>
      <w:r>
        <w:rPr>
          <w:rFonts w:ascii="Times New Roman" w:hAnsi="Times New Roman"/>
          <w:sz w:val="28"/>
          <w:szCs w:val="28"/>
          <w:lang w:eastAsia="ru-RU"/>
        </w:rPr>
        <w:t xml:space="preserve"> Президента Российской Федерации от 15 мая 2026 года № 327 «О единых базовых мерах поддержки лиц, принимающих (принимавших) участие в специаль</w:t>
      </w:r>
      <w:r>
        <w:rPr>
          <w:rFonts w:ascii="Times New Roman" w:hAnsi="Times New Roman"/>
          <w:sz w:val="28"/>
          <w:szCs w:val="28"/>
          <w:lang w:eastAsia="ru-RU"/>
        </w:rPr>
        <w:t xml:space="preserve">ной военной операции, и других категорий лиц в субъектах Российской Федерации»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 (далее – Указ)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, принимающих участие (содействующих выполнению задач) в специальной военной операции, 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выполняющих задачи по отражению вооруженного вторжения на территорию Российс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кой Федерации (далее </w:t>
      </w:r>
      <w:r>
        <w:rPr>
          <w:rFonts w:ascii="Times New Roman" w:hAnsi="Times New Roman"/>
          <w:sz w:val="28"/>
          <w:szCs w:val="28"/>
          <w:lang w:eastAsia="ru-RU"/>
        </w:rPr>
        <w:t xml:space="preserve">–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</w:t>
      </w:r>
      <w:r>
        <w:rPr>
          <w:rFonts w:ascii="Times New Roman" w:hAnsi="Times New Roman"/>
          <w:sz w:val="28"/>
          <w:szCs w:val="28"/>
          <w:lang w:eastAsia="ru-RU"/>
        </w:rPr>
        <w:t xml:space="preserve">–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 вооруженная пр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овокация), в период проведения специальной военной операции;</w:t>
      </w:r>
      <w:r>
        <w:rPr>
          <w:rFonts w:ascii="Times New Roman" w:hAnsi="Times New Roman" w:eastAsia="Times New Roman"/>
          <w:color w:val="000000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2) детям лиц, из числа названных в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 подпунктах «а» – «в» пункта 1 Указа, признанных в установленном порядке инвалидами вследствие увечья (ранения, травмы, контузии) или заболевания, полученных ими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 в связи с участием (выполнением задач) в специальной военной операции, 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выполнением 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задач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 по отражению вооруженного вторжения, в ходе вооруженной провокации, участием в соответствии с решениями органов государственной власти Донецкой Народной Республики, Л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уганской Народной Республики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1 мая 2014 года (далее </w:t>
      </w:r>
      <w:r>
        <w:rPr>
          <w:rFonts w:ascii="Times New Roman" w:hAnsi="Times New Roman"/>
          <w:sz w:val="28"/>
          <w:szCs w:val="28"/>
          <w:lang w:eastAsia="ru-RU"/>
        </w:rPr>
        <w:t xml:space="preserve">–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 боевые действия)</w:t>
      </w:r>
      <w:r>
        <w:rPr>
          <w:rFonts w:ascii="Times New Roman" w:hAnsi="Times New Roman" w:eastAsia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3) детям лиц, из числа названных в подпунктах «а» – «в» пункта 1 Указа, погибших (умерших) в связи с участием в специальной военной операции, 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выполнением задач по отражению вооруженного вторжения, в ходе вооруженной провокации, в ходе боевых действий</w:t>
      </w:r>
      <w:r>
        <w:rPr>
          <w:rFonts w:ascii="Times New Roman" w:hAnsi="Times New Roman" w:eastAsia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2.2. Детям 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лиц, названных в подпунктах 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«а» – «в» пункта 1 Указ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а (за исключением указанных в части 2.1 настоящей статьи), в первоочередном порядке 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однократно в течение календарного года (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до конца года, следующего за годом завершения специальной военной операции) предоставляются путевки в организации отдыха детей и их оздоровления, расположенные на территории Новосибирской области, на льготных условия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х, с оплатой 50% стоимости путевки за счет средств областного бюджета Новосибирской области.</w:t>
      </w:r>
      <w:r>
        <w:rPr>
          <w:rFonts w:ascii="Times New Roman" w:hAnsi="Times New Roman" w:eastAsia="Times New Roman"/>
          <w:color w:val="000000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2.3. 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Право на льготное обеспечение путевками в соответствии с частями 2.1 и 2.2 настоящей статьи 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также и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меют 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дети,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 находящиеся на иждивении лиц, 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названных в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 подпун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ктах «а» – «в» пункта 1 Указа, либо находившиеся на иждивении этих лиц на дату их гибели (смерти), в том числе пасынки и падчерицы, воспитывающиеся (воспитывавшиеся) в семьях указанных лиц.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2.4. Порядок предоставления льготных путевок в организации отдыха 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детей и их оздоровления, расположенные на территории Новосибирской области, 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детям, указанным в частях 2.1–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2.3 настоящей статьи, устанавливается Правительством Новосибирской области.</w:t>
      </w:r>
      <w:r>
        <w:rPr>
          <w:rFonts w:ascii="Times New Roman" w:hAnsi="Times New Roman" w:eastAsia="Times New Roman"/>
          <w:sz w:val="28"/>
          <w:szCs w:val="28"/>
        </w:rPr>
        <w:t xml:space="preserve">».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Статья 2</w:t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Внести в Закон Новосибирской области от 29 декабря 2004 года № 253-ОЗ «О мерах социальной поддержки отдельных категорий граждан, проживающих в Новосибирской области» (с изменениями, внесенными Законами Новосибирской области от 2 июня 2005 года № 303-ОЗ, от</w:t>
      </w:r>
      <w:r>
        <w:rPr>
          <w:rFonts w:ascii="Times New Roman" w:hAnsi="Times New Roman"/>
          <w:sz w:val="28"/>
          <w:szCs w:val="28"/>
          <w:lang w:eastAsia="ru-RU"/>
        </w:rPr>
        <w:t xml:space="preserve"> 28 марта 2008 года № 215-ОЗ, от 13 октября 2008 года № 274-ОЗ, от 2 мая 2009 года № 327-ОЗ, от 29 сентября 2009 года № 388-ОЗ, от 8 февраля 2010 года № 447-ОЗ, от 1 апреля 2011 года № 57-ОЗ, от 7 ноября 2011 года № 135-ОЗ, от 17 декабря 2012 года № 286-ОЗ</w:t>
      </w:r>
      <w:r>
        <w:rPr>
          <w:rFonts w:ascii="Times New Roman" w:hAnsi="Times New Roman"/>
          <w:sz w:val="28"/>
          <w:szCs w:val="28"/>
          <w:lang w:eastAsia="ru-RU"/>
        </w:rPr>
        <w:t xml:space="preserve">, от 6 декабря 2013 года № 379-ОЗ, от 2 апреля 2014 года № 422-ОЗ, от 29 апреля 2015 года № 538-ОЗ, от 31 мая 2016 года № 65-ОЗ, от 5 июля 2017 года № 182-ОЗ, от 18 июня 2018 года № 265-ОЗ, от 2 октября 2018 года № 289-ОЗ, от 25 декабря 2018 года № 334-ОЗ,</w:t>
      </w:r>
      <w:r>
        <w:rPr>
          <w:rFonts w:ascii="Times New Roman" w:hAnsi="Times New Roman"/>
          <w:sz w:val="28"/>
          <w:szCs w:val="28"/>
          <w:lang w:eastAsia="ru-RU"/>
        </w:rPr>
        <w:t xml:space="preserve"> от 25 декабря 2018 года № 336-ОЗ, от 28 ноября 2019 года № 432-ОЗ, от 10 ноября 2020 года № 3-ОЗ, от 5 октября 2021 года № 110-ОЗ, от 16 декабря 2022 года № 300-ОЗ, от 27 февраля 2023 года № 318-ОЗ, от 13 июля 2023 года № 359-ОЗ, от 12 марта 2024 года № 4</w:t>
      </w:r>
      <w:r>
        <w:rPr>
          <w:rFonts w:ascii="Times New Roman" w:hAnsi="Times New Roman"/>
          <w:sz w:val="28"/>
          <w:szCs w:val="28"/>
          <w:lang w:eastAsia="ru-RU"/>
        </w:rPr>
        <w:t xml:space="preserve">26-ОЗ, от 6 ноября 2024 года № 500-ОЗ, от 9 июля 2025 года № 619-ОЗ) следующие изменения: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 статью 1 дополнить пунктом 14 следующего содержания: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«14) лица, названные в пункте 1 Указа Президента Российской Федерации от 15 мая 2026 года № 327 «О единых базо</w:t>
      </w:r>
      <w:r>
        <w:rPr>
          <w:rFonts w:ascii="Times New Roman" w:hAnsi="Times New Roman"/>
          <w:sz w:val="28"/>
          <w:szCs w:val="28"/>
          <w:lang w:eastAsia="ru-RU"/>
        </w:rPr>
        <w:t xml:space="preserve">вых мерах поддержки лиц, принимающих (принимавших) участие в специальной военной операции, и других категорий лиц в субъектах Российской Федерации» (далее – Указ № 327).»;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 дополнить статьей 5.8 следующего содержания: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5.8. Меры социальной поддерж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ки лиц, названных в пункте 1 Указа № 327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1. Лицам, названным в пункте 1 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Указа № 327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предоставляются следующие меры социальной поддержки:</w:t>
      </w:r>
      <w:r>
        <w:rPr>
          <w:rFonts w:ascii="Times New Roman" w:hAnsi="Times New Roman" w:eastAsia="Times New Roman"/>
          <w:color w:val="000000"/>
          <w:sz w:val="28"/>
          <w:szCs w:val="28"/>
        </w:rPr>
      </w:r>
    </w:p>
    <w:p>
      <w:pPr>
        <w:pStyle w:val="715"/>
        <w:contextualSpacing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1) </w:t>
      </w:r>
      <w:r>
        <w:rPr>
          <w:rFonts w:ascii="Times New Roman" w:hAnsi="Times New Roman"/>
          <w:sz w:val="28"/>
          <w:szCs w:val="28"/>
        </w:rPr>
        <w:t xml:space="preserve">предоставление во внеочередном порядке медицинской помощи;</w:t>
      </w:r>
      <w:r>
        <w:rPr>
          <w:rFonts w:ascii="Times New Roman" w:hAnsi="Times New Roman"/>
          <w:sz w:val="28"/>
          <w:szCs w:val="28"/>
        </w:rPr>
      </w:r>
    </w:p>
    <w:p>
      <w:pPr>
        <w:pStyle w:val="715"/>
        <w:contextualSpacing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оказание бесплатной психологической и психолого-психотерапевтической помощи;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3) предоставление внеочередного приема в организации социального обслуживания, предоставляющие социальные услуги в стационарной форме, в полустационарной форме, внеочередное со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циальное обслуживание организациями социального обслуживания, предоставляющими социальные услуги в форме социального обслуживания на дому. </w:t>
      </w:r>
      <w:r>
        <w:rPr>
          <w:rFonts w:ascii="Times New Roman" w:hAnsi="Times New Roman" w:eastAsia="Times New Roman"/>
          <w:color w:val="000000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2. Меры социальной поддержки, предусмотренные частью 1 настоящей статьи, предоставляются бессрочно:</w:t>
      </w:r>
      <w:r>
        <w:rPr>
          <w:rFonts w:ascii="Times New Roman" w:hAnsi="Times New Roman" w:eastAsia="Times New Roman"/>
          <w:color w:val="000000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1) лицам, названным в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 подпунктах «а» – «в» пункта 1 Указа № 327, признанным в установленном порядке инвалидами вследствие увечья (ранения, травмы, контузии) или заболевания, полученных ими в связи с участием (выполнением задач) в специальной военной операц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ии, 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выполнением задачи по отражению вооруженного вторжения на территорию Российской Федерации (далее </w:t>
      </w:r>
      <w:r>
        <w:rPr>
          <w:rFonts w:ascii="Times New Roman" w:hAnsi="Times New Roman"/>
          <w:sz w:val="28"/>
          <w:szCs w:val="28"/>
          <w:lang w:eastAsia="ru-RU"/>
        </w:rPr>
        <w:t xml:space="preserve">–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гающих к районам проведения специальной военной операции (далее </w:t>
      </w:r>
      <w:r>
        <w:rPr>
          <w:rFonts w:ascii="Times New Roman" w:hAnsi="Times New Roman"/>
          <w:sz w:val="28"/>
          <w:szCs w:val="28"/>
          <w:lang w:eastAsia="ru-RU"/>
        </w:rPr>
        <w:t xml:space="preserve">–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 вооруженная провокация), участием в соответствии с решениями органов государственной власти Донецкой Народной Республики, Луганской Народной Республики в боевых действиях в составе Вооруженн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года (далее </w:t>
      </w:r>
      <w:r>
        <w:rPr>
          <w:rFonts w:ascii="Times New Roman" w:hAnsi="Times New Roman"/>
          <w:sz w:val="28"/>
          <w:szCs w:val="28"/>
          <w:lang w:eastAsia="ru-RU"/>
        </w:rPr>
        <w:t xml:space="preserve">–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 боевые действия)</w:t>
      </w:r>
      <w:r>
        <w:rPr>
          <w:rFonts w:ascii="Times New Roman" w:hAnsi="Times New Roman" w:eastAsia="Times New Roman"/>
          <w:sz w:val="28"/>
          <w:szCs w:val="28"/>
        </w:rPr>
        <w:t xml:space="preserve">, а также членам их семей;</w:t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2) членам семей лиц, названных в подпунктах «а» – «в» пункта 1 Указа № 327, погибших (умерших) в связи с участием в специальной военной операции, 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выполнением задач по отражению вооруженного вторжения, в ходе вооруженной провокации, в ходе боевых действий</w:t>
      </w:r>
      <w:r>
        <w:rPr>
          <w:rFonts w:ascii="Times New Roman" w:hAnsi="Times New Roman" w:eastAsia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715"/>
        <w:contextualSpacing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Иным категориям лиц, названным в пункте 1 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Указа № 327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, меры социальной поддержки, предусмотренные частью 1 настоящей статьи, предоставляются до конца года, следующего за годом завершения специальной военной операции.»;</w:t>
      </w:r>
      <w:r>
        <w:rPr>
          <w:rFonts w:ascii="Times New Roman" w:hAnsi="Times New Roman"/>
          <w:sz w:val="28"/>
          <w:szCs w:val="28"/>
        </w:rPr>
      </w:r>
    </w:p>
    <w:p>
      <w:pPr>
        <w:pStyle w:val="715"/>
        <w:contextualSpacing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часть 1 статьи 9 после слов «ч</w:t>
      </w:r>
      <w:r>
        <w:rPr>
          <w:rFonts w:ascii="Times New Roman" w:hAnsi="Times New Roman"/>
          <w:sz w:val="28"/>
          <w:szCs w:val="28"/>
        </w:rPr>
        <w:t xml:space="preserve">астью 1 статьи 5.7» дополнить словами «, </w:t>
      </w:r>
      <w:r>
        <w:rPr>
          <w:rFonts w:ascii="Times New Roman" w:hAnsi="Times New Roman"/>
          <w:sz w:val="28"/>
          <w:szCs w:val="28"/>
        </w:rPr>
        <w:t xml:space="preserve">пунктами 1 и 2 части 1 </w:t>
      </w:r>
      <w:r>
        <w:rPr>
          <w:rFonts w:ascii="Times New Roman" w:hAnsi="Times New Roman"/>
          <w:sz w:val="28"/>
          <w:szCs w:val="28"/>
        </w:rPr>
        <w:t xml:space="preserve">статьи 5.8».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Статья </w:t>
      </w:r>
      <w:r>
        <w:rPr>
          <w:rFonts w:ascii="Times New Roman" w:hAnsi="Times New Roman"/>
          <w:b/>
          <w:bCs/>
          <w:sz w:val="28"/>
          <w:szCs w:val="28"/>
        </w:rPr>
        <w:t xml:space="preserve">3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firstLine="709"/>
        <w:jc w:val="both"/>
        <w:spacing w:after="0"/>
        <w:tabs>
          <w:tab w:val="left" w:pos="709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Внести в статью 22.1 Закона Новосибирской области от 7 июля 2007 года № 124-ОЗ «О культуре в Новосибирской области» (с изменениями, внесенными Законами Новосибирской об</w:t>
      </w:r>
      <w:r>
        <w:rPr>
          <w:rFonts w:ascii="Times New Roman" w:hAnsi="Times New Roman" w:eastAsia="Times New Roman"/>
          <w:sz w:val="28"/>
          <w:szCs w:val="28"/>
        </w:rPr>
        <w:t xml:space="preserve">ласти от 2 июля 2008 года № 250-ОЗ, от 4 декабря 2008 года № 286-ОЗ, от 4 февраля 2011 года № 39-ОЗ, от 11 февраля 2013 года № 293-ОЗ, от 5 марта 2013 года № 302-ОЗ, от 2 апреля 2014 года № 426-ОЗ, от 2 июля 2014 года № 454-ОЗ, от 2 ноября 2015 года № 5-ОЗ</w:t>
      </w:r>
      <w:r>
        <w:rPr>
          <w:rFonts w:ascii="Times New Roman" w:hAnsi="Times New Roman" w:eastAsia="Times New Roman"/>
          <w:sz w:val="28"/>
          <w:szCs w:val="28"/>
        </w:rPr>
        <w:t xml:space="preserve">, от 2 апреля 2019 года № 356-ОЗ, от 1 июля 2019 года № 385-ОЗ, от 10 февраля 2022 года № 174-ОЗ, от 12 марта 2024 года № 427-ОЗ, от 18 июля 2024 года № 465-ОЗ, от 11 июня 2025 года № 607-ОЗ, от 22 декабря 2025 года № 34-ОЗ, от 23 марта 2026 года № 66-ОЗ) </w:t>
      </w:r>
      <w:r>
        <w:rPr>
          <w:rFonts w:ascii="Times New Roman" w:hAnsi="Times New Roman" w:eastAsia="Times New Roman"/>
          <w:sz w:val="28"/>
          <w:szCs w:val="28"/>
        </w:rPr>
        <w:t xml:space="preserve">следующие изменения: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1) в части 1 </w:t>
      </w:r>
      <w:r>
        <w:rPr>
          <w:rFonts w:ascii="Times New Roman" w:hAnsi="Times New Roman" w:eastAsia="Times New Roman"/>
          <w:sz w:val="28"/>
          <w:szCs w:val="28"/>
        </w:rPr>
        <w:t xml:space="preserve">слова «граждан Российской Федерации» заменить словом «граждан»;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2) подпункт 3.1 части 2 признать утратившим силу;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3) дополнить частью 2.1 следующего содержания: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«2.1. Право на льготы при посещении платных меропри</w:t>
      </w:r>
      <w:r>
        <w:rPr>
          <w:rFonts w:ascii="Times New Roman" w:hAnsi="Times New Roman" w:eastAsia="Times New Roman"/>
          <w:sz w:val="28"/>
          <w:szCs w:val="28"/>
        </w:rPr>
        <w:t xml:space="preserve">ятий, проводимых учреждениями и организациями культуры, находящимися в ведении Новосибирской области, имеют: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1) лица, названные в пункте 1 Указа Президента Российской Федерации от 15 мая 2</w:t>
      </w:r>
      <w:r>
        <w:rPr>
          <w:rFonts w:ascii="Times New Roman" w:hAnsi="Times New Roman" w:eastAsia="Times New Roman"/>
          <w:sz w:val="28"/>
          <w:szCs w:val="28"/>
        </w:rPr>
        <w:t xml:space="preserve">026 года № 327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Федерации» (далее – Указ № 327), за исключением лиц, названных в пункте 2 настоящей части;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2) лица, названные в подпунктах «а»</w:t>
      </w:r>
      <w:r>
        <w:rPr>
          <w:rFonts w:ascii="Times New Roman" w:hAnsi="Times New Roman" w:eastAsia="Times New Roman"/>
          <w:sz w:val="28"/>
          <w:szCs w:val="28"/>
        </w:rPr>
        <w:t xml:space="preserve"> </w:t>
      </w:r>
      <w:r>
        <w:rPr>
          <w:rFonts w:ascii="Times New Roman" w:hAnsi="Times New Roman" w:eastAsia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/>
          <w:sz w:val="28"/>
          <w:szCs w:val="28"/>
        </w:rPr>
        <w:t xml:space="preserve"> </w:t>
      </w:r>
      <w:r>
        <w:rPr>
          <w:rFonts w:ascii="Times New Roman" w:hAnsi="Times New Roman" w:eastAsia="Times New Roman"/>
          <w:sz w:val="28"/>
          <w:szCs w:val="28"/>
        </w:rPr>
        <w:t xml:space="preserve">«в» пункта 1 Указа № 327, признанные в установленном порядке инвалидами вследствие увечья (ранения, травмы, контузии) или заболевания, полученных ими в связи с участием (выполнением задач) в специальной военной операц</w:t>
      </w:r>
      <w:r>
        <w:rPr>
          <w:rFonts w:ascii="Times New Roman" w:hAnsi="Times New Roman" w:eastAsia="Times New Roman"/>
          <w:sz w:val="28"/>
          <w:szCs w:val="28"/>
        </w:rPr>
        <w:t xml:space="preserve">ии, выполнением </w:t>
      </w:r>
      <w:r>
        <w:rPr>
          <w:rFonts w:ascii="Times New Roman" w:hAnsi="Times New Roman" w:eastAsia="Times New Roman"/>
          <w:sz w:val="28"/>
          <w:szCs w:val="28"/>
        </w:rPr>
        <w:t xml:space="preserve">задач </w:t>
      </w:r>
      <w:r>
        <w:rPr>
          <w:rFonts w:ascii="Times New Roman" w:hAnsi="Times New Roman" w:eastAsia="Times New Roman"/>
          <w:sz w:val="28"/>
          <w:szCs w:val="28"/>
        </w:rPr>
        <w:t xml:space="preserve">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</w:t>
      </w:r>
      <w:r>
        <w:rPr>
          <w:rFonts w:ascii="Times New Roman" w:hAnsi="Times New Roman" w:eastAsia="Times New Roman"/>
          <w:sz w:val="28"/>
          <w:szCs w:val="28"/>
        </w:rPr>
        <w:t xml:space="preserve">альной военной операции, участием в соответствии с решениями органов государственной власти Донецкой Народной Республики, Луганской Народной Республики в боевых действиях в составе Вооруженных Сил Донецкой Народной Республики, Народной милиции Луганской На</w:t>
      </w:r>
      <w:r>
        <w:rPr>
          <w:rFonts w:ascii="Times New Roman" w:hAnsi="Times New Roman" w:eastAsia="Times New Roman"/>
          <w:sz w:val="28"/>
          <w:szCs w:val="28"/>
        </w:rPr>
        <w:t xml:space="preserve">родной Республики, воинских формирований и органов Донецкой Народной Республики и Луганской Народной Республики начиная с 11 мая 2014 года, а также члены их семей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sz w:val="28"/>
          <w:szCs w:val="28"/>
        </w:rPr>
        <w:t xml:space="preserve">и члены семей лиц, названных в подпунктах «а»</w:t>
      </w:r>
      <w:r>
        <w:rPr>
          <w:rFonts w:ascii="Times New Roman" w:hAnsi="Times New Roman" w:eastAsia="Times New Roman"/>
          <w:sz w:val="28"/>
          <w:szCs w:val="28"/>
        </w:rPr>
        <w:t xml:space="preserve"> </w:t>
      </w:r>
      <w:r>
        <w:rPr>
          <w:rFonts w:ascii="Times New Roman" w:hAnsi="Times New Roman" w:eastAsia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/>
          <w:sz w:val="28"/>
          <w:szCs w:val="28"/>
        </w:rPr>
        <w:t xml:space="preserve"> </w:t>
      </w:r>
      <w:r>
        <w:rPr>
          <w:rFonts w:ascii="Times New Roman" w:hAnsi="Times New Roman" w:eastAsia="Times New Roman"/>
          <w:sz w:val="28"/>
          <w:szCs w:val="28"/>
        </w:rPr>
        <w:t xml:space="preserve">«в» пункта 1 Указа, погибших (умерших) в связ</w:t>
      </w:r>
      <w:r>
        <w:rPr>
          <w:rFonts w:ascii="Times New Roman" w:hAnsi="Times New Roman" w:eastAsia="Times New Roman"/>
          <w:sz w:val="28"/>
          <w:szCs w:val="28"/>
        </w:rPr>
        <w:t xml:space="preserve">и с участием в специальной военной операции, выполнением указанных задач.»;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4) часть 3 дополнить абзацем следующего содержания: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«Льготы лицам, относящимся к категории, указанной в пункте 1 части 2.1 настоящей статьи, предоставляются на период до конца года, следующего за годом завершения специальной военной операции.».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4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Внести в статью 9 Закона Новосибирской области от 5 </w:t>
      </w:r>
      <w:r>
        <w:rPr>
          <w:rFonts w:ascii="Times New Roman" w:hAnsi="Times New Roman" w:eastAsia="Times New Roman"/>
          <w:sz w:val="28"/>
          <w:szCs w:val="28"/>
        </w:rPr>
        <w:t xml:space="preserve">июля 2013 года № 361-ОЗ «О регулировании отношений в сфере образования в Новосибирской области» (с изменениями, внесенными законами Новосибирской области от 2 июля 2014 года № 458-ОЗ, от 24 ноября 2014 года № 488-ОЗ, от 1 июля 2015 года № 565-ОЗ, от 31 мая</w:t>
      </w:r>
      <w:r>
        <w:rPr>
          <w:rFonts w:ascii="Times New Roman" w:hAnsi="Times New Roman" w:eastAsia="Times New Roman"/>
          <w:sz w:val="28"/>
          <w:szCs w:val="28"/>
        </w:rPr>
        <w:t xml:space="preserve"> 2016 года № 68-ОЗ, от 5 декабря 2016 года № 111-ОЗ, от 2 марта 2017 года № 143-ОЗ, от 5 декабря 2017 года № 232-ОЗ, от 6 февраля 2018 года № 236-ОЗ, от 3 апреля 2018 года № 252-ОЗ, от 2 октября 2018 года № 289-ОЗ, от 2 апреля 2019 года № 357-ОЗ, от 20 дек</w:t>
      </w:r>
      <w:r>
        <w:rPr>
          <w:rFonts w:ascii="Times New Roman" w:hAnsi="Times New Roman" w:eastAsia="Times New Roman"/>
          <w:sz w:val="28"/>
          <w:szCs w:val="28"/>
        </w:rPr>
        <w:t xml:space="preserve">абря 2019 года № 445-ОЗ, от 22 декабря 2020 года № 41-ОЗ, от 7 апреля 2022 года № 189-ОЗ, от 1 июня 2022 года № 209-ОЗ, от 27 апреля 2023 года № 333-ОЗ, от 4 октября 2023 года № 347-ОЗ, от 19 декабря 2023 года № 411-ОЗ, от 12 марта 2024 года № 426-ОЗ, от 6</w:t>
      </w:r>
      <w:r>
        <w:rPr>
          <w:rFonts w:ascii="Times New Roman" w:hAnsi="Times New Roman" w:eastAsia="Times New Roman"/>
          <w:sz w:val="28"/>
          <w:szCs w:val="28"/>
        </w:rPr>
        <w:t xml:space="preserve"> марта 2025 года № 563-ОЗ, от 23 декабря 2025 года № 45-ОЗ) изменение, дополнив частями 12 – 14 следующего содержания: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«12. Лица, названные в пункте 1 Указа Президента Российской Федерации от 15 мая 2026 года № 327 «О единых базовых мерах поддержки лиц, пр</w:t>
      </w:r>
      <w:r>
        <w:rPr>
          <w:rFonts w:ascii="Times New Roman" w:hAnsi="Times New Roman" w:eastAsia="Times New Roman"/>
          <w:sz w:val="28"/>
          <w:szCs w:val="28"/>
        </w:rPr>
        <w:t xml:space="preserve">инимающих (принимавших) участие в специальной военной операции, и других категорий лиц в субъектах Российской Федерации» (далее – Указ), частично освобождаются от платы, взимаемой с родителей (законных представителей), за присмотр и уход обучающихся из чис</w:t>
      </w:r>
      <w:r>
        <w:rPr>
          <w:rFonts w:ascii="Times New Roman" w:hAnsi="Times New Roman" w:eastAsia="Times New Roman"/>
          <w:sz w:val="28"/>
          <w:szCs w:val="28"/>
        </w:rPr>
        <w:t xml:space="preserve">ла лиц, названных в подпунктах «б» и «е» пункта 2 Указа, в группах продленного дня в государственных образовательных организациях Новосибирской области и муниципальных образовательных организациях, осуществляющих образовательную деятельность по образовател</w:t>
      </w:r>
      <w:r>
        <w:rPr>
          <w:rFonts w:ascii="Times New Roman" w:hAnsi="Times New Roman" w:eastAsia="Times New Roman"/>
          <w:sz w:val="28"/>
          <w:szCs w:val="28"/>
        </w:rPr>
        <w:t xml:space="preserve">ьным программам начального общего, основного общего и среднего общего образования, в размере 50% от установленной стоимости.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eastAsia="Times New Roman"/>
          <w:sz w:val="28"/>
          <w:szCs w:val="28"/>
        </w:rPr>
        <w:t xml:space="preserve">13. Лицам, названным в подпунктах «б» и «е» пункта 2 Указа, предоставляются следующие меры поддержки:</w:t>
      </w:r>
      <w:r/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eastAsia="Times New Roman"/>
          <w:sz w:val="28"/>
          <w:szCs w:val="28"/>
        </w:rPr>
        <w:t xml:space="preserve">1) зачисление (в том числе пр</w:t>
      </w:r>
      <w:r>
        <w:rPr>
          <w:rFonts w:ascii="Times New Roman" w:hAnsi="Times New Roman" w:eastAsia="Times New Roman"/>
          <w:sz w:val="28"/>
          <w:szCs w:val="28"/>
        </w:rPr>
        <w:t xml:space="preserve">и переводе из одной государственной образовательной организации Новосибирской области или муниципальной образовательной организации в другую) в первоочередном порядке, в наиболее приближенные к месту жительства семьи государственные образовательные организ</w:t>
      </w:r>
      <w:r>
        <w:rPr>
          <w:rFonts w:ascii="Times New Roman" w:hAnsi="Times New Roman" w:eastAsia="Times New Roman"/>
          <w:sz w:val="28"/>
          <w:szCs w:val="28"/>
        </w:rPr>
        <w:t xml:space="preserve">ации Новосибирской области или муниципальные образовательные организации, осуществляющие образовательную деятельность по образовательным программам дошкольного, начального общего, основного общего и среднего общего образования, в том числе в группы продлен</w:t>
      </w:r>
      <w:r>
        <w:rPr>
          <w:rFonts w:ascii="Times New Roman" w:hAnsi="Times New Roman" w:eastAsia="Times New Roman"/>
          <w:sz w:val="28"/>
          <w:szCs w:val="28"/>
        </w:rPr>
        <w:t xml:space="preserve">ного дня;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</w:rPr>
        <w:t xml:space="preserve">2) обеспечение бесплатным питанием обучающихся в государственных образовательных организациях Новосибирской области и муниципальных образовательных организациях, осуществляющих образовательную деятельность по образовательным программам начального</w:t>
      </w:r>
      <w:r>
        <w:rPr>
          <w:rFonts w:ascii="Times New Roman" w:hAnsi="Times New Roman" w:eastAsia="Times New Roman"/>
          <w:sz w:val="28"/>
          <w:szCs w:val="28"/>
        </w:rPr>
        <w:t xml:space="preserve"> общего, основного общего и среднего общего образования;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3) обеспечение бесплатным питанием обучающихся по очной форме обучения в государственных образовательных организациях Новосибирской области, осуществляющих образовательную деятельность по образовател</w:t>
      </w:r>
      <w:r>
        <w:rPr>
          <w:rFonts w:ascii="Times New Roman" w:hAnsi="Times New Roman" w:eastAsia="Times New Roman"/>
          <w:sz w:val="28"/>
          <w:szCs w:val="28"/>
        </w:rPr>
        <w:t xml:space="preserve">ьным программам среднего профессионального образования.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Порядок и условия предоставления указанных мер поддержки устанавливаются Правительством Новосибирской области. 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14. Льготы, установленные в частях 12 и 13 настоящей статьи, предоставляются до конца го</w:t>
      </w:r>
      <w:r>
        <w:rPr>
          <w:rFonts w:ascii="Times New Roman" w:hAnsi="Times New Roman" w:eastAsia="Times New Roman"/>
          <w:sz w:val="28"/>
          <w:szCs w:val="28"/>
        </w:rPr>
        <w:t xml:space="preserve">да, следующего за годом завершения специальной военной операции, а членам семей лиц, названных в подпунктах «а»</w:t>
      </w:r>
      <w:r>
        <w:rPr>
          <w:rFonts w:ascii="Times New Roman" w:hAnsi="Times New Roman" w:eastAsia="Times New Roman"/>
          <w:sz w:val="28"/>
          <w:szCs w:val="28"/>
        </w:rPr>
        <w:t xml:space="preserve"> </w:t>
      </w:r>
      <w:r>
        <w:rPr>
          <w:rFonts w:ascii="Times New Roman" w:hAnsi="Times New Roman" w:eastAsia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/>
          <w:sz w:val="28"/>
          <w:szCs w:val="28"/>
        </w:rPr>
        <w:t xml:space="preserve"> </w:t>
      </w:r>
      <w:r>
        <w:rPr>
          <w:rFonts w:ascii="Times New Roman" w:hAnsi="Times New Roman" w:eastAsia="Times New Roman"/>
          <w:sz w:val="28"/>
          <w:szCs w:val="28"/>
        </w:rPr>
        <w:t xml:space="preserve">«в» пункта 1 Указа и признанных в установленном порядке инвалидами вследствие увечья (ранения, травмы, контузии) или заболевания, полученных и</w:t>
      </w:r>
      <w:r>
        <w:rPr>
          <w:rFonts w:ascii="Times New Roman" w:hAnsi="Times New Roman" w:eastAsia="Times New Roman"/>
          <w:sz w:val="28"/>
          <w:szCs w:val="28"/>
        </w:rPr>
        <w:t xml:space="preserve">ми в связи с участием (выполнением задач) в специальной военной операции, выполнением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</w:t>
      </w:r>
      <w:r>
        <w:rPr>
          <w:rFonts w:ascii="Times New Roman" w:hAnsi="Times New Roman" w:eastAsia="Times New Roman"/>
          <w:sz w:val="28"/>
          <w:szCs w:val="28"/>
        </w:rPr>
        <w:t xml:space="preserve">субъектов Российской Федерации, прилегающих к районам проведения специальной военной операции, в ходе боевых действий в составе Вооруженных Сил Донецкой Народной Республики, Народной милиции Луганской Народной Республики, воинских формирований и органов До</w:t>
      </w:r>
      <w:r>
        <w:rPr>
          <w:rFonts w:ascii="Times New Roman" w:hAnsi="Times New Roman" w:eastAsia="Times New Roman"/>
          <w:sz w:val="28"/>
          <w:szCs w:val="28"/>
        </w:rPr>
        <w:t xml:space="preserve">нецкой Народной Республики и Луганской Народной Республики, начиная с 11 мая 2014 года, членам семей лиц, названных в подпунктах «а»</w:t>
      </w:r>
      <w:r>
        <w:rPr>
          <w:rFonts w:ascii="Times New Roman" w:hAnsi="Times New Roman" w:eastAsia="Times New Roman"/>
          <w:sz w:val="28"/>
          <w:szCs w:val="28"/>
        </w:rPr>
        <w:t xml:space="preserve"> </w:t>
      </w:r>
      <w:r>
        <w:rPr>
          <w:rFonts w:ascii="Times New Roman" w:hAnsi="Times New Roman" w:eastAsia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/>
          <w:sz w:val="28"/>
          <w:szCs w:val="28"/>
        </w:rPr>
        <w:t xml:space="preserve"> </w:t>
      </w:r>
      <w:r>
        <w:rPr>
          <w:rFonts w:ascii="Times New Roman" w:hAnsi="Times New Roman" w:eastAsia="Times New Roman"/>
          <w:sz w:val="28"/>
          <w:szCs w:val="28"/>
        </w:rPr>
        <w:t xml:space="preserve">«в» пункта 1 Указа, погибших (умерших) в связи с участием в специальной военной операции, выполнением указанных задач, – </w:t>
      </w:r>
      <w:r>
        <w:rPr>
          <w:rFonts w:ascii="Times New Roman" w:hAnsi="Times New Roman" w:eastAsia="Times New Roman"/>
          <w:sz w:val="28"/>
          <w:szCs w:val="28"/>
        </w:rPr>
        <w:t xml:space="preserve">бессрочно.».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5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Внести </w:t>
      </w:r>
      <w:r>
        <w:rPr>
          <w:rFonts w:ascii="Times New Roman" w:hAnsi="Times New Roman" w:eastAsia="Times New Roman"/>
          <w:sz w:val="28"/>
          <w:szCs w:val="28"/>
        </w:rPr>
        <w:t xml:space="preserve">в Закон Новосибирской области от 1 июня 2022 года № 214-ОЗ «О предоставлении меры социальной поддержки в виде компенсации расходов, связанных с осуществлением мероприятий по газификации» (с изменениями, внесенными Законами Но</w:t>
      </w:r>
      <w:r>
        <w:rPr>
          <w:rFonts w:ascii="Times New Roman" w:hAnsi="Times New Roman" w:eastAsia="Times New Roman"/>
          <w:sz w:val="28"/>
          <w:szCs w:val="28"/>
        </w:rPr>
        <w:t xml:space="preserve">восибирской области от 16 декабря 2022 года № 293-ОЗ, от 4 октября 2023 года № 380-ОЗ, от 12 марта 2024 года № 426-ОЗ, от 5 июня 2024 года № 452-ОЗ, от 28 ноября 2024 года № 512-ОЗ, от 11 июня 2025 года № 603, от 9 июля 2025 года № 620-ОЗ) следующие измене</w:t>
      </w:r>
      <w:r>
        <w:rPr>
          <w:rFonts w:ascii="Times New Roman" w:hAnsi="Times New Roman" w:eastAsia="Times New Roman"/>
          <w:sz w:val="28"/>
          <w:szCs w:val="28"/>
        </w:rPr>
        <w:t xml:space="preserve">ния: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sz w:val="28"/>
          <w:szCs w:val="28"/>
        </w:rPr>
        <w:t xml:space="preserve">1) в статье 2:</w:t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color w:val="000000"/>
          <w:sz w:val="28"/>
        </w:rPr>
        <w:t xml:space="preserve">а) пункт 14 изложить в следующей редакции:</w:t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888"/>
        <w:contextualSpacing/>
        <w:ind w:firstLine="708"/>
        <w:jc w:val="both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«14)</w:t>
      </w:r>
      <w:r>
        <w:rPr>
          <w:sz w:val="28"/>
          <w:szCs w:val="28"/>
        </w:rPr>
        <w:t xml:space="preserve"> лица, названные в пункте 1 Указа Президента Российской Федерации от 15 мая 2026 года № 327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Федерации»;»;</w:t>
      </w:r>
      <w:r>
        <w:rPr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б) пункт 15 признать утратившим силу;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 часть 1 статьи 3 после слов «понесенных ими» дополнить словами «(членами их семей)».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6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20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 Настоящий Закон, за исключением статьи 1, абзацев второго, пятого, шестого статьи 4, вступает в силу с 1 ноября 202</w:t>
      </w:r>
      <w:r>
        <w:rPr>
          <w:rFonts w:ascii="Times New Roman" w:hAnsi="Times New Roman"/>
          <w:sz w:val="28"/>
          <w:szCs w:val="28"/>
          <w:lang w:eastAsia="ru-RU"/>
        </w:rPr>
        <w:t xml:space="preserve">6 года. 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contextualSpacing/>
        <w:ind w:firstLine="72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 Статья 1, абзацы второй, пятый, шестой статьи 4 настоящего Закона вступают в силу с 1 января 2027 года.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Губернатор 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Новосибирской области                               </w:t>
      </w:r>
      <w:r>
        <w:rPr>
          <w:rFonts w:ascii="Times New Roman" w:hAnsi="Times New Roman" w:eastAsia="Times New Roman"/>
          <w:sz w:val="28"/>
          <w:szCs w:val="28"/>
        </w:rPr>
        <w:tab/>
      </w:r>
      <w:r>
        <w:rPr>
          <w:rFonts w:ascii="Times New Roman" w:hAnsi="Times New Roman" w:eastAsia="Times New Roman"/>
          <w:sz w:val="28"/>
          <w:szCs w:val="28"/>
        </w:rPr>
        <w:tab/>
        <w:t xml:space="preserve">                       А.А. Травников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г. Новосибирск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«___» ___________ 2026 г.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№_______________ – ОЗ</w:t>
      </w:r>
      <w:r>
        <w:rPr>
          <w:rFonts w:ascii="Times New Roman" w:hAnsi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417" w:header="709" w:footer="709" w:gutter="0"/>
      <w:cols w:num="1" w:sep="0" w:space="708" w:equalWidth="1"/>
      <w:docGrid w:linePitch="360"/>
      <w:titlePg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mka@NSO.LOC" w:date="2026-07-07T10:18:49Z" w:initials="m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Гольдман А.Н. (минобр) прокоментировала, что муниципальных организаций профобразования нет и создание в ближайшее время не планируется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9E61C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4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7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ka@NSO.LOC">
    <w15:presenceInfo w15:providerId="Teamlab" w15:userId="mka@NSO.LO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680">
    <w:name w:val="Heading 1"/>
    <w:basedOn w:val="679"/>
    <w:next w:val="679"/>
    <w:link w:val="70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1">
    <w:name w:val="Heading 2"/>
    <w:basedOn w:val="679"/>
    <w:next w:val="679"/>
    <w:link w:val="70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2">
    <w:name w:val="Heading 3"/>
    <w:basedOn w:val="679"/>
    <w:next w:val="679"/>
    <w:link w:val="70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3">
    <w:name w:val="Heading 4"/>
    <w:basedOn w:val="679"/>
    <w:next w:val="679"/>
    <w:link w:val="70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679"/>
    <w:next w:val="679"/>
    <w:link w:val="7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679"/>
    <w:next w:val="679"/>
    <w:link w:val="71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86">
    <w:name w:val="Heading 7"/>
    <w:basedOn w:val="679"/>
    <w:next w:val="679"/>
    <w:link w:val="71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87">
    <w:name w:val="Heading 8"/>
    <w:basedOn w:val="679"/>
    <w:next w:val="679"/>
    <w:link w:val="71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8">
    <w:name w:val="Heading 9"/>
    <w:basedOn w:val="679"/>
    <w:next w:val="679"/>
    <w:link w:val="7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 w:default="1">
    <w:name w:val="Default Paragraph Font"/>
    <w:uiPriority w:val="1"/>
    <w:semiHidden/>
    <w:unhideWhenUsed/>
  </w:style>
  <w:style w:type="table" w:styleId="6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1" w:default="1">
    <w:name w:val="No List"/>
    <w:uiPriority w:val="99"/>
    <w:semiHidden/>
    <w:unhideWhenUsed/>
  </w:style>
  <w:style w:type="character" w:styleId="692" w:customStyle="1">
    <w:name w:val="Heading 1 Char"/>
    <w:basedOn w:val="689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Heading 2 Char"/>
    <w:basedOn w:val="689"/>
    <w:uiPriority w:val="9"/>
    <w:rPr>
      <w:rFonts w:ascii="Arial" w:hAnsi="Arial" w:eastAsia="Arial" w:cs="Arial"/>
      <w:sz w:val="34"/>
    </w:rPr>
  </w:style>
  <w:style w:type="character" w:styleId="694" w:customStyle="1">
    <w:name w:val="Heading 3 Char"/>
    <w:basedOn w:val="689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Heading 4 Char"/>
    <w:basedOn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Heading 5 Char"/>
    <w:basedOn w:val="689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Heading 6 Char"/>
    <w:basedOn w:val="689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Heading 7 Char"/>
    <w:basedOn w:val="68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Heading 8 Char"/>
    <w:basedOn w:val="689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Heading 9 Char"/>
    <w:basedOn w:val="689"/>
    <w:uiPriority w:val="9"/>
    <w:rPr>
      <w:rFonts w:ascii="Arial" w:hAnsi="Arial" w:eastAsia="Arial" w:cs="Arial"/>
      <w:i/>
      <w:iCs/>
      <w:sz w:val="21"/>
      <w:szCs w:val="21"/>
    </w:rPr>
  </w:style>
  <w:style w:type="character" w:styleId="701" w:customStyle="1">
    <w:name w:val="Title Char"/>
    <w:basedOn w:val="689"/>
    <w:uiPriority w:val="10"/>
    <w:rPr>
      <w:sz w:val="48"/>
      <w:szCs w:val="48"/>
    </w:rPr>
  </w:style>
  <w:style w:type="character" w:styleId="702" w:customStyle="1">
    <w:name w:val="Subtitle Char"/>
    <w:basedOn w:val="689"/>
    <w:uiPriority w:val="11"/>
    <w:rPr>
      <w:sz w:val="24"/>
      <w:szCs w:val="24"/>
    </w:rPr>
  </w:style>
  <w:style w:type="character" w:styleId="703" w:customStyle="1">
    <w:name w:val="Quote Char"/>
    <w:uiPriority w:val="29"/>
    <w:rPr>
      <w:i/>
    </w:rPr>
  </w:style>
  <w:style w:type="character" w:styleId="704" w:customStyle="1">
    <w:name w:val="Intense Quote Char"/>
    <w:uiPriority w:val="30"/>
    <w:rPr>
      <w:i/>
    </w:rPr>
  </w:style>
  <w:style w:type="character" w:styleId="705" w:customStyle="1">
    <w:name w:val="Заголовок 1 Знак"/>
    <w:link w:val="680"/>
    <w:uiPriority w:val="9"/>
    <w:rPr>
      <w:rFonts w:ascii="Arial" w:hAnsi="Arial" w:eastAsia="Arial" w:cs="Arial"/>
      <w:sz w:val="40"/>
      <w:szCs w:val="40"/>
    </w:rPr>
  </w:style>
  <w:style w:type="character" w:styleId="706" w:customStyle="1">
    <w:name w:val="Заголовок 2 Знак"/>
    <w:link w:val="681"/>
    <w:uiPriority w:val="9"/>
    <w:rPr>
      <w:rFonts w:ascii="Arial" w:hAnsi="Arial" w:eastAsia="Arial" w:cs="Arial"/>
      <w:sz w:val="34"/>
    </w:rPr>
  </w:style>
  <w:style w:type="character" w:styleId="707" w:customStyle="1">
    <w:name w:val="Заголовок 3 Знак"/>
    <w:link w:val="682"/>
    <w:uiPriority w:val="9"/>
    <w:rPr>
      <w:rFonts w:ascii="Arial" w:hAnsi="Arial" w:eastAsia="Arial" w:cs="Arial"/>
      <w:sz w:val="30"/>
      <w:szCs w:val="30"/>
    </w:rPr>
  </w:style>
  <w:style w:type="character" w:styleId="708" w:customStyle="1">
    <w:name w:val="Заголовок 4 Знак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709" w:customStyle="1">
    <w:name w:val="Заголовок 5 Знак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710" w:customStyle="1">
    <w:name w:val="Заголовок 6 Знак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711" w:customStyle="1">
    <w:name w:val="Заголовок 7 Знак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2" w:customStyle="1">
    <w:name w:val="Заголовок 8 Знак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713" w:customStyle="1">
    <w:name w:val="Заголовок 9 Знак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714">
    <w:name w:val="List Paragraph"/>
    <w:basedOn w:val="679"/>
    <w:uiPriority w:val="34"/>
    <w:qFormat/>
    <w:pPr>
      <w:contextualSpacing/>
      <w:ind w:left="720"/>
    </w:pPr>
  </w:style>
  <w:style w:type="paragraph" w:styleId="715">
    <w:name w:val="No Spacing"/>
    <w:uiPriority w:val="1"/>
    <w:qFormat/>
  </w:style>
  <w:style w:type="paragraph" w:styleId="716">
    <w:name w:val="Title"/>
    <w:basedOn w:val="679"/>
    <w:next w:val="679"/>
    <w:link w:val="7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7" w:customStyle="1">
    <w:name w:val="Заголовок Знак"/>
    <w:link w:val="716"/>
    <w:uiPriority w:val="10"/>
    <w:rPr>
      <w:sz w:val="48"/>
      <w:szCs w:val="48"/>
    </w:rPr>
  </w:style>
  <w:style w:type="paragraph" w:styleId="718">
    <w:name w:val="Subtitle"/>
    <w:basedOn w:val="679"/>
    <w:next w:val="679"/>
    <w:link w:val="719"/>
    <w:uiPriority w:val="11"/>
    <w:qFormat/>
    <w:pPr>
      <w:spacing w:before="200" w:after="200"/>
    </w:pPr>
    <w:rPr>
      <w:sz w:val="24"/>
      <w:szCs w:val="24"/>
    </w:rPr>
  </w:style>
  <w:style w:type="character" w:styleId="719" w:customStyle="1">
    <w:name w:val="Подзаголовок Знак"/>
    <w:link w:val="718"/>
    <w:uiPriority w:val="11"/>
    <w:rPr>
      <w:sz w:val="24"/>
      <w:szCs w:val="24"/>
    </w:rPr>
  </w:style>
  <w:style w:type="paragraph" w:styleId="720">
    <w:name w:val="Quote"/>
    <w:basedOn w:val="679"/>
    <w:next w:val="679"/>
    <w:link w:val="721"/>
    <w:uiPriority w:val="29"/>
    <w:qFormat/>
    <w:pPr>
      <w:ind w:left="720" w:right="720"/>
    </w:pPr>
    <w:rPr>
      <w:i/>
    </w:rPr>
  </w:style>
  <w:style w:type="character" w:styleId="721" w:customStyle="1">
    <w:name w:val="Цитата 2 Знак"/>
    <w:link w:val="720"/>
    <w:uiPriority w:val="29"/>
    <w:rPr>
      <w:i/>
    </w:rPr>
  </w:style>
  <w:style w:type="paragraph" w:styleId="722">
    <w:name w:val="Intense Quote"/>
    <w:basedOn w:val="679"/>
    <w:next w:val="679"/>
    <w:link w:val="72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 w:customStyle="1">
    <w:name w:val="Выделенная цитата Знак"/>
    <w:link w:val="722"/>
    <w:uiPriority w:val="30"/>
    <w:rPr>
      <w:i/>
    </w:rPr>
  </w:style>
  <w:style w:type="paragraph" w:styleId="724">
    <w:name w:val="Header"/>
    <w:basedOn w:val="679"/>
    <w:link w:val="874"/>
    <w:uiPriority w:val="99"/>
    <w:unhideWhenUsed/>
    <w:pPr>
      <w:ind w:firstLine="851"/>
      <w:jc w:val="both"/>
      <w:spacing w:after="0" w:line="240" w:lineRule="auto"/>
      <w:tabs>
        <w:tab w:val="center" w:pos="4677" w:leader="none"/>
        <w:tab w:val="right" w:pos="9355" w:leader="none"/>
      </w:tabs>
    </w:pPr>
    <w:rPr>
      <w:rFonts w:eastAsia="Times New Roman"/>
    </w:rPr>
  </w:style>
  <w:style w:type="character" w:styleId="725" w:customStyle="1">
    <w:name w:val="Header Char"/>
    <w:uiPriority w:val="99"/>
  </w:style>
  <w:style w:type="paragraph" w:styleId="726">
    <w:name w:val="Footer"/>
    <w:basedOn w:val="679"/>
    <w:link w:val="88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27" w:customStyle="1">
    <w:name w:val="Footer Char"/>
    <w:uiPriority w:val="99"/>
  </w:style>
  <w:style w:type="paragraph" w:styleId="728">
    <w:name w:val="Caption"/>
    <w:basedOn w:val="679"/>
    <w:next w:val="67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9" w:customStyle="1">
    <w:name w:val="Caption Char"/>
    <w:uiPriority w:val="99"/>
  </w:style>
  <w:style w:type="table" w:styleId="730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5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7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9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0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1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2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3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4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5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2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3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4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5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6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7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8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9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0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2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3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4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5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6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7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8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6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7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8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9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0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1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2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3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4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5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6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7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8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9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0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1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2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3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4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5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56">
    <w:name w:val="Hyperlink"/>
    <w:uiPriority w:val="99"/>
    <w:unhideWhenUsed/>
    <w:rPr>
      <w:color w:val="0563c1"/>
      <w:u w:val="single"/>
    </w:rPr>
  </w:style>
  <w:style w:type="paragraph" w:styleId="857">
    <w:name w:val="footnote text"/>
    <w:basedOn w:val="679"/>
    <w:link w:val="886"/>
    <w:uiPriority w:val="99"/>
    <w:semiHidden/>
    <w:unhideWhenUsed/>
    <w:rPr>
      <w:sz w:val="20"/>
      <w:szCs w:val="20"/>
    </w:rPr>
  </w:style>
  <w:style w:type="character" w:styleId="858" w:customStyle="1">
    <w:name w:val="Footnote Text Char"/>
    <w:uiPriority w:val="99"/>
    <w:rPr>
      <w:sz w:val="18"/>
    </w:rPr>
  </w:style>
  <w:style w:type="character" w:styleId="859">
    <w:name w:val="footnote reference"/>
    <w:uiPriority w:val="99"/>
    <w:semiHidden/>
    <w:unhideWhenUsed/>
    <w:rPr>
      <w:vertAlign w:val="superscript"/>
    </w:rPr>
  </w:style>
  <w:style w:type="paragraph" w:styleId="860">
    <w:name w:val="endnote text"/>
    <w:basedOn w:val="679"/>
    <w:link w:val="885"/>
    <w:uiPriority w:val="99"/>
    <w:semiHidden/>
    <w:unhideWhenUsed/>
    <w:rPr>
      <w:sz w:val="20"/>
      <w:szCs w:val="20"/>
    </w:rPr>
  </w:style>
  <w:style w:type="character" w:styleId="861" w:customStyle="1">
    <w:name w:val="Endnote Text Char"/>
    <w:uiPriority w:val="99"/>
    <w:rPr>
      <w:sz w:val="20"/>
    </w:rPr>
  </w:style>
  <w:style w:type="character" w:styleId="862">
    <w:name w:val="endnote reference"/>
    <w:uiPriority w:val="99"/>
    <w:semiHidden/>
    <w:unhideWhenUsed/>
    <w:rPr>
      <w:vertAlign w:val="superscript"/>
    </w:rPr>
  </w:style>
  <w:style w:type="paragraph" w:styleId="863">
    <w:name w:val="toc 1"/>
    <w:basedOn w:val="679"/>
    <w:next w:val="679"/>
    <w:uiPriority w:val="39"/>
    <w:unhideWhenUsed/>
    <w:pPr>
      <w:spacing w:after="57"/>
    </w:pPr>
  </w:style>
  <w:style w:type="paragraph" w:styleId="864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65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66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67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68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69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70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71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72">
    <w:name w:val="TOC Heading"/>
    <w:uiPriority w:val="39"/>
    <w:unhideWhenUsed/>
  </w:style>
  <w:style w:type="paragraph" w:styleId="873">
    <w:name w:val="table of figures"/>
    <w:basedOn w:val="679"/>
    <w:next w:val="679"/>
    <w:uiPriority w:val="99"/>
    <w:unhideWhenUsed/>
    <w:pPr>
      <w:spacing w:after="0"/>
    </w:pPr>
  </w:style>
  <w:style w:type="character" w:styleId="874" w:customStyle="1">
    <w:name w:val="Верхний колонтитул Знак"/>
    <w:link w:val="724"/>
    <w:uiPriority w:val="99"/>
    <w:rPr>
      <w:rFonts w:ascii="Calibri" w:hAnsi="Calibri" w:eastAsia="Times New Roman" w:cs="Times New Roman"/>
    </w:rPr>
  </w:style>
  <w:style w:type="paragraph" w:styleId="875">
    <w:name w:val="Balloon Text"/>
    <w:basedOn w:val="679"/>
    <w:link w:val="87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76" w:customStyle="1">
    <w:name w:val="Текст выноски Знак"/>
    <w:link w:val="875"/>
    <w:uiPriority w:val="99"/>
    <w:semiHidden/>
    <w:rPr>
      <w:rFonts w:ascii="Tahoma" w:hAnsi="Tahoma" w:cs="Tahoma"/>
      <w:sz w:val="16"/>
      <w:szCs w:val="16"/>
    </w:rPr>
  </w:style>
  <w:style w:type="character" w:styleId="877">
    <w:name w:val="annotation reference"/>
    <w:uiPriority w:val="99"/>
    <w:semiHidden/>
    <w:unhideWhenUsed/>
    <w:rPr>
      <w:sz w:val="16"/>
      <w:szCs w:val="16"/>
    </w:rPr>
  </w:style>
  <w:style w:type="paragraph" w:styleId="878">
    <w:name w:val="annotation text"/>
    <w:basedOn w:val="679"/>
    <w:link w:val="879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79" w:customStyle="1">
    <w:name w:val="Текст примечания Знак"/>
    <w:link w:val="878"/>
    <w:uiPriority w:val="99"/>
    <w:semiHidden/>
    <w:rPr>
      <w:sz w:val="20"/>
      <w:szCs w:val="20"/>
    </w:rPr>
  </w:style>
  <w:style w:type="paragraph" w:styleId="880">
    <w:name w:val="annotation subject"/>
    <w:basedOn w:val="878"/>
    <w:next w:val="878"/>
    <w:link w:val="881"/>
    <w:uiPriority w:val="99"/>
    <w:semiHidden/>
    <w:unhideWhenUsed/>
    <w:rPr>
      <w:b/>
      <w:bCs/>
    </w:rPr>
  </w:style>
  <w:style w:type="character" w:styleId="881" w:customStyle="1">
    <w:name w:val="Тема примечания Знак"/>
    <w:link w:val="880"/>
    <w:uiPriority w:val="99"/>
    <w:semiHidden/>
    <w:rPr>
      <w:b/>
      <w:bCs/>
      <w:sz w:val="20"/>
      <w:szCs w:val="20"/>
    </w:rPr>
  </w:style>
  <w:style w:type="paragraph" w:styleId="882" w:customStyle="1">
    <w:name w:val="Standard"/>
    <w:pPr>
      <w:widowControl w:val="off"/>
    </w:pPr>
    <w:rPr>
      <w:rFonts w:ascii="Arial" w:hAnsi="Arial" w:eastAsia="SimSun" w:cs="Arial"/>
      <w:sz w:val="21"/>
      <w:szCs w:val="24"/>
      <w:lang w:eastAsia="hi-IN" w:bidi="hi-IN"/>
    </w:rPr>
  </w:style>
  <w:style w:type="paragraph" w:styleId="883" w:customStyle="1">
    <w:name w:val="ConsPlusNormal"/>
    <w:pPr>
      <w:widowControl w:val="off"/>
    </w:pPr>
    <w:rPr>
      <w:rFonts w:eastAsia="Times New Roman" w:cs="Calibri"/>
      <w:sz w:val="22"/>
      <w:lang w:eastAsia="ru-RU"/>
    </w:rPr>
  </w:style>
  <w:style w:type="character" w:styleId="884" w:customStyle="1">
    <w:name w:val="Нижний колонтитул Знак"/>
    <w:link w:val="726"/>
    <w:uiPriority w:val="99"/>
    <w:rPr>
      <w:sz w:val="22"/>
      <w:szCs w:val="22"/>
      <w:lang w:eastAsia="en-US"/>
    </w:rPr>
  </w:style>
  <w:style w:type="character" w:styleId="885" w:customStyle="1">
    <w:name w:val="Текст концевой сноски Знак"/>
    <w:link w:val="860"/>
    <w:uiPriority w:val="99"/>
    <w:semiHidden/>
    <w:rPr>
      <w:lang w:eastAsia="en-US"/>
    </w:rPr>
  </w:style>
  <w:style w:type="character" w:styleId="886" w:customStyle="1">
    <w:name w:val="Текст сноски Знак"/>
    <w:link w:val="857"/>
    <w:uiPriority w:val="99"/>
    <w:semiHidden/>
    <w:rPr>
      <w:lang w:eastAsia="en-US"/>
    </w:rPr>
  </w:style>
  <w:style w:type="paragraph" w:styleId="887" w:customStyle="1">
    <w:name w:val="ConsPlusNormal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sz w:val="16"/>
      <w:lang w:val="en-US"/>
    </w:rPr>
  </w:style>
  <w:style w:type="paragraph" w:styleId="888" w:customStyle="1">
    <w:name w:val="docdata;docy;v5;3765;bqiaagaaeyqcaaagiaiaaapvdqaabf0naaaaaaaaaaaaaaaaaaaaaaaaaaaaaaaaaaaaaaaaaaaaaaaaaaaaaaaaaaaaaaaaaaaaaaaaaaaaaaaaaaaaaaaaaaaaaaaaaaaaaaaaaaaaaaaaaaaaaaaaaaaaaaaaaaaaaaaaaaaaaaaaaaaaaaaaaaaaaaaaaaaaaaaaaaaaaaaaaaaaaaaaaaaaaaaaaaaaaaaa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nlyoffice.com/commentsDocument" Target="commentsDocument.xml" /><Relationship Id="rId12" Type="http://schemas.onlyoffice.com/commentsExtendedDocument" Target="commentsExtendedDocument.xml" /><Relationship Id="rId13" Type="http://schemas.onlyoffice.com/commentsIdsDocument" Target="commentsIdsDocument.xml" /><Relationship Id="rId14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5B644-1AA7-4899-9263-3B6D2B641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Сыч Снежана Николаевна</dc:creator>
  <cp:keywords/>
  <dc:description/>
  <cp:revision>25</cp:revision>
  <dcterms:created xsi:type="dcterms:W3CDTF">2026-07-07T04:33:00Z</dcterms:created>
  <dcterms:modified xsi:type="dcterms:W3CDTF">2026-09-03T10:53:08Z</dcterms:modified>
  <cp:version>983040</cp:version>
</cp:coreProperties>
</file>